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FIŞA DISCIPLINEI</w:t>
      </w:r>
    </w:p>
    <w:p w:rsidR="00000000" w:rsidDel="00000000" w:rsidP="00000000" w:rsidRDefault="00000000" w:rsidRPr="00000000" w14:paraId="00000003">
      <w:pPr>
        <w:jc w:val="center"/>
        <w:rPr>
          <w:rFonts w:ascii="Cambria" w:cs="Cambria" w:eastAsia="Cambria" w:hAnsi="Cambria"/>
          <w:i w:val="1"/>
          <w:iCs w:val="1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rtl w:val="0"/>
        </w:rPr>
        <w:t xml:space="preserve">Istoria teatrului</w:t>
      </w:r>
    </w:p>
    <w:p w:rsidR="00000000" w:rsidDel="00000000" w:rsidP="00000000" w:rsidRDefault="00000000" w:rsidRPr="00000000" w14:paraId="00000004">
      <w:pPr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Anul universitar 2025/2026</w:t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1. Date despre program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3"/>
        <w:gridCol w:w="7088"/>
        <w:tblGridChange w:id="0">
          <w:tblGrid>
            <w:gridCol w:w="3403"/>
            <w:gridCol w:w="708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1.1. Instituția de învățământ superior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Universitatea Babeș-Bolyai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1.2. Facultatea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 Teatru și Film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1.3. Departamentul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Maghiar de Teatru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1.4.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Domeniul de studii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Teatru și artele spectacolului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Ciclul de studii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Licență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1.6. Programul de studii / Calificarea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Actorie, Teatrologie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1.7. Forma de învățământ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Învățământ cu frecvență</w:t>
            </w:r>
          </w:p>
        </w:tc>
      </w:tr>
    </w:tbl>
    <w:p w:rsidR="00000000" w:rsidDel="00000000" w:rsidP="00000000" w:rsidRDefault="00000000" w:rsidRPr="00000000" w14:paraId="00000015">
      <w:pPr>
        <w:spacing w:after="0" w:lineRule="auto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2. Date despre disciplină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  <w:tblGridChange w:id="0">
          <w:tblGrid>
            <w:gridCol w:w="1868"/>
            <w:gridCol w:w="567"/>
            <w:gridCol w:w="142"/>
            <w:gridCol w:w="850"/>
            <w:gridCol w:w="425"/>
            <w:gridCol w:w="567"/>
            <w:gridCol w:w="1701"/>
            <w:gridCol w:w="567"/>
            <w:gridCol w:w="567"/>
            <w:gridCol w:w="1701"/>
            <w:gridCol w:w="1560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2.1. Denumirea disciplinei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Istoria teatrului 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Codul disciplinei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VLM1701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2.2. Titularul activităților de curs 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Bartha Katalin Ágnes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2.3. Titularul activităților de seminar </w:t>
            </w:r>
          </w:p>
        </w:tc>
        <w:tc>
          <w:tcPr>
            <w:gridSpan w:val="7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Bartha Katalin Ágnes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2.4. Anul de studiu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right="-203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2.5. Semestrul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ind w:right="-288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2.6. Tipul </w:t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ind w:right="-288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 evaluare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2.7. Regimul disciplinei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Cambria" w:cs="Cambria" w:eastAsia="Cambria" w:hAnsi="Cambria"/>
                <w:sz w:val="18"/>
                <w:szCs w:val="18"/>
              </w:rPr>
            </w:pPr>
            <w:r w:rsidDel="00000000" w:rsidR="00000000" w:rsidRPr="00000000">
              <w:rPr>
                <w:rFonts w:ascii="Cambria" w:cs="Cambria" w:eastAsia="Cambria" w:hAnsi="Cambria"/>
                <w:sz w:val="18"/>
                <w:szCs w:val="18"/>
                <w:rtl w:val="0"/>
              </w:rPr>
              <w:t xml:space="preserve">DF</w:t>
            </w:r>
          </w:p>
        </w:tc>
      </w:tr>
    </w:tbl>
    <w:p w:rsidR="00000000" w:rsidDel="00000000" w:rsidP="00000000" w:rsidRDefault="00000000" w:rsidRPr="00000000" w14:paraId="00000044">
      <w:pPr>
        <w:spacing w:after="0" w:lineRule="auto"/>
        <w:ind w:right="-765" w:firstLine="72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ind w:right="-766"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3. Timpul total estimat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(ore pe semestru al activităților didactice)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9"/>
        <w:gridCol w:w="851"/>
        <w:gridCol w:w="1842"/>
        <w:gridCol w:w="284"/>
        <w:gridCol w:w="425"/>
        <w:gridCol w:w="2977"/>
        <w:gridCol w:w="567"/>
        <w:tblGridChange w:id="0">
          <w:tblGrid>
            <w:gridCol w:w="3539"/>
            <w:gridCol w:w="851"/>
            <w:gridCol w:w="1842"/>
            <w:gridCol w:w="284"/>
            <w:gridCol w:w="425"/>
            <w:gridCol w:w="2977"/>
            <w:gridCol w:w="56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3.1. Număr de ore pe săptămână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din care: 3.2. curs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3.3. seminar/ laborator/ proiect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3.4. Total ore din planul de învățământ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din care: 3.5.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curs</w:t>
            </w:r>
            <w:r w:rsidDel="00000000" w:rsidR="00000000" w:rsidRPr="00000000">
              <w:rPr>
                <w:rFonts w:ascii="Cambria" w:cs="Cambria" w:eastAsia="Cambria" w:hAnsi="Cambria"/>
                <w:color w:val="ff0000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3.6 seminar/laborator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4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Distribuția fondului de timp pentru studiul individual (SI) și activități de autoinstruire (AI)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ore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Studiul după manual, suport de curs, bibliografie și notițe (AI)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2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Documentare suplimentară în bibliotecă, pe platformele electronice de specialitate și pe teren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9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Pregătire seminare/ laboratoare/ proiecte, teme, referate, portofolii și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17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0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Tutoriat (consiliere profesională)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7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Examinări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E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Alte activităţi [comunicare bidirecțională cu titularul de disciplină]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85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3.7. Total ore studiu individual (SI) și activități de autoinstruire (AI)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89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69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8C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3.8. Total ore pe semestru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90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125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93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3.9. Numărul de credite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97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09A">
      <w:pPr>
        <w:spacing w:after="0" w:line="240" w:lineRule="auto"/>
        <w:ind w:left="-284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40" w:lineRule="auto"/>
        <w:ind w:left="-284" w:hanging="141.99999999999994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4. Precondiții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(acolo unde este cazul)</w:t>
      </w:r>
    </w:p>
    <w:tbl>
      <w:tblPr>
        <w:tblStyle w:val="Table4"/>
        <w:tblW w:w="10491.000000000002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44"/>
        <w:gridCol w:w="8647"/>
        <w:tblGridChange w:id="0">
          <w:tblGrid>
            <w:gridCol w:w="1844"/>
            <w:gridCol w:w="864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4.1. de curriculum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ind w:left="72" w:firstLine="0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4.2. de competențe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ind w:left="72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spacing w:after="0" w:line="240" w:lineRule="auto"/>
        <w:ind w:right="-766" w:hanging="426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5. Condiții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(acolo unde este cazul)</w:t>
      </w:r>
    </w:p>
    <w:tbl>
      <w:tblPr>
        <w:tblStyle w:val="Table5"/>
        <w:tblW w:w="10439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5"/>
        <w:gridCol w:w="6044"/>
        <w:tblGridChange w:id="0">
          <w:tblGrid>
            <w:gridCol w:w="4395"/>
            <w:gridCol w:w="604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5.1. de desfășurare a cursului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Sală dotată cu proiector, infrastructură necesară pentru anumite teme (videoproiector, laptop, internet), materiale bibliografice pe suport fizic sau electronic, platforma MS Teams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5.2. de desfășurare a seminarului/ laboratorului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Infrastructură necesară pentru anumite teme (videoproiector, laptop, internet), materialele de lectură și analiză disponibile pe suport fizic sau electronic, platforma MS Teams; participarea la seminar este obligatorie.</w:t>
            </w:r>
          </w:p>
        </w:tc>
      </w:tr>
    </w:tbl>
    <w:p w:rsidR="00000000" w:rsidDel="00000000" w:rsidP="00000000" w:rsidRDefault="00000000" w:rsidRPr="00000000" w14:paraId="000000A6">
      <w:pPr>
        <w:spacing w:after="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6. Rezultatele învățării</w:t>
      </w:r>
    </w:p>
    <w:tbl>
      <w:tblPr>
        <w:tblStyle w:val="Table6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2"/>
        <w:gridCol w:w="9639"/>
        <w:tblGridChange w:id="0">
          <w:tblGrid>
            <w:gridCol w:w="852"/>
            <w:gridCol w:w="9639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Cunoștințe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cunoaște principalele curente și stiluri ale istoriei teatrului, caracteristicile acestora și exemplele reprezentative.</w:t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cunoaște conexiunile sociale, culturale și estetice ale diferitelor perioade din istoria teatrului.</w:t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cunoaște conceptele istorice fundamentale și cadrele de analiză necesare pentru interpretarea fenomenelor teatrale.</w:t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cunoaște bibliografia și importanța celor mai relevante surse primare și secundare specifice diferitelor epoci.</w:t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Aptitudini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este capabil să compare fenomene teatrale din diferite perioade în contextul lor social și estetic.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este capabil să aplice concepte specifice epocilor și cadre teoretice în analize.</w:t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este capabil să analizeze texte dramatice și spectacole din perspective istorice și estetice diferite.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este capabil să interpreteze texte și spectacole ținând cont de diverse contexte istorice.</w:t>
              <w:br w:type="textWrapping"/>
              <w:t xml:space="preserve">Studentul este capabil să distingă și să aplice abordările metodologice ale cercetării în istoria teatrului.</w:t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Responsabilități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și autonomie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este capabil să interpreteze și să prezinte în mod autonom caracteristicile definitorii ale unei perioade din istoria teatrului.</w:t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este capabil să formuleze argumente fundamentate și reflecții critice pe baza literaturii de specialitate și a textelor analizate.</w:t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este capabil să redacteze în mod autonom un studiu sau un eseu pe o temă de istoria teatrului.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este capabil să își construiască și să își susțină propria poziție de analiză.</w:t>
            </w:r>
          </w:p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este capabil să elaboreze un plan de cercetare și să îl implementeze în mod autonom pe o temă de istoria teatrului.</w:t>
            </w:r>
          </w:p>
        </w:tc>
      </w:tr>
    </w:tbl>
    <w:p w:rsidR="00000000" w:rsidDel="00000000" w:rsidP="00000000" w:rsidRDefault="00000000" w:rsidRPr="00000000" w14:paraId="000000B9">
      <w:pPr>
        <w:spacing w:after="0" w:lineRule="auto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7. Obiectivele disciplinei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 (reieșind din grila competențelor acumulate)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0"/>
        <w:gridCol w:w="7661"/>
        <w:tblGridChange w:id="0">
          <w:tblGrid>
            <w:gridCol w:w="2830"/>
            <w:gridCol w:w="7661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7.1 Obiectivul general al disciplinei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Scopul disciplinei este ca studenții să dobândească o cunoaștere cuprinzătoare: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teatrului și dramaturgiei din perioada iluminismului, romantismului și modernismului maghiar, cu accent pe determinările lor sociale, culturale și estetice, în contextul contemporan al istoriei teatrului european;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precum și a teatrului și dramaturgiei din Antichitatea greacă și romană, Evul Mediu și Renaștere, în perspective analoge de analiză.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7.2 Obiectivele specifice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Printre obiectivele specifice ale disciplinei se numără: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înțelegerea relației dintre societatea epocii și teatru, a conexiunilor istorice dintre text și scenă, a transformărilor stilurilor de joc actoricesc, precum și a validității sociale a esteticului teatral;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identificarea și delimitarea caracteristicilor tematice și stilistice ale textelor dramaturgice aparținând diferitelor perioade;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cartografierea contextului social și cultural al teatrului ca instituție;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orientarea în cultura teatrală a epocii prin analiza și interpretarea literaturii de specialitate relevante;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dezvoltarea capacității de interpretare a operelor dramaturgice istorice și a spectacolelor, prin aplicarea unor perspective de analiză adecvate;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dezvoltarea conștientă a competenței de exprimare în limbajul de specialitate maghiar, atât în formă scrisă, cât și orală.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8">
      <w:pPr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0" w:lineRule="auto"/>
        <w:ind w:hanging="426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8. Conținuturi</w:t>
      </w:r>
    </w:p>
    <w:tbl>
      <w:tblPr>
        <w:tblStyle w:val="Table8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5"/>
        <w:gridCol w:w="3119"/>
        <w:gridCol w:w="2977"/>
        <w:tblGridChange w:id="0">
          <w:tblGrid>
            <w:gridCol w:w="4395"/>
            <w:gridCol w:w="3119"/>
            <w:gridCol w:w="297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8.1 a. Curs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Metode de predare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Observații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Introducere, prezentarea disciplinei;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Istoriografia teatrală și istoria teatrului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Prelegere de sinteză metodologică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 la începuturi până în 1790: teatrul școlar, teatrul de castel, trupele teatrale germane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sistematizare, prelegere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Program dramaturgic fără instituție teatrală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Începuturile teatrului profesionist (condiții personale: rolul lui Kelemen, Fejér, Kótsi, baronul Wesselényi Miklós cel Bătrân)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Începuturile teatrului profesionist (condiții instituționale)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Trupe itinerante și tipurile lor de spectacol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Spații teatrale și centre teatrale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Actori și memorii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Repertoriul shakesperian până în 1837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Teatrul romantismului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Concepții de politică teatrală în perioada reformei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Teatrul și revoluția burgheză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Sinteză. Direcții principale ale stilurilor de joc ale epocii (școala „plângător-cântată”, jocul actoricesc romantic)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sistematizare,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Bibliografie</w:t>
            </w:r>
          </w:p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EGYED Emese szerk.: Theátrumi Könyvecske. Színházi Zsebkönyvek és szerepük a régió színházi kultúrájában. Sapientia könyvek, Kolozsvár, Scientia kiadó, 2002.</w:t>
            </w:r>
          </w:p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•EGYED Emese: Láttató világok. Mentor, Marosvásárhely, 2014.</w:t>
            </w:r>
          </w:p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•FERENCZI Zoltán: A kolozsvári színészet és színház története. Kvár, Ajtai K. Albert, 1897.</w:t>
            </w:r>
          </w:p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•Az erdélyi magyar színészet hőskora 1792-1821. Káli Nagy Lázár visszaemlékezései. Bevezetéssel ellátta dr. JANCSÓ Elemér Kolozsvár, Minerva,1942. </w:t>
            </w:r>
          </w:p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•JÁNOS-SZATHMÁRY Szabolcs: Az érzékeny színház. Kolozsvár, Erdélyi Múzeum Egyesület kiadása, 2007.</w:t>
            </w:r>
          </w:p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•Kerényi Ferenc szerk. Magyar színháztörténet 1790-1873 (I) Budapest 1990. https://mek.oszk.hu/02000/02065/html/1kotet/index.html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•KERÉNYI Ferenc: A erdélyi magyar hivatásos színészet kezdetei (1792–1797) In: Magyar színháztörténet 1790-1873 szerk. Kerényi Ferenc, Budapest 1990. 61–83. </w:t>
            </w:r>
            <w:hyperlink r:id="rId8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https://mek.oszk.hu/02000/02065/html/1kotet/11.html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•KERÉNYI Ferenc: Az erdélyi magyar drámairodalom kezdetei In: Kolozsvár magyar színháza. Szerk. Kántor Lajos, Kötő József, Visky András, Kolozsvár, Állami Magyar Színház, Állami Magyar Opera kiadása 1992.</w:t>
            </w:r>
          </w:p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•KERÉNYI FERENC: A RÉGI MAGYAR SZÍNPADON 1790-1849. MAGVETŐ KIADÓ, 1981.</w:t>
            </w:r>
          </w:p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•PINTÉR Márta Zsuzsanna: Utószó: „Nap, hold és csillagok velem zokogjatok”. Csíksomlyói passiójátékok a 18. századból Szerk. Demeter Júlia, Budapest é.n. Argumentum kiadó 659-673</w:t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•SCHÖPFLIN Aladár szerk. Színművészeti Lexikon, I-IV. Bp.: Országos Színészegyesület és Nyugdíjintézet 1929-1931-ben </w:t>
            </w:r>
            <w:hyperlink r:id="rId9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https://mek.oszk.hu/08700/08756/html/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•SZÉKELY György szerk.: Magyar színházművészeti lexikon. Akadémiai Kiadó, 1994. </w:t>
            </w:r>
            <w:hyperlink r:id="rId10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https://mek.oszk.hu/02100/02139/html/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•Wesselényi Miklós színházi levelezése. Szerk. Enyedi Sándor (Színháztörténeti könyvtár - Új sorozat 14., Budapest, 1983) </w:t>
            </w:r>
            <w:hyperlink r:id="rId11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http://bpfe.eclap.eu/eclap/axmedis/6/6db/00000-6db7292d-637e-41cb-af94-e54250771df7/2/~saved-on-db-6db7292d-637e-41cb-af94-e54250771df7.pdf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•VITA Zsigmond: A Bethlen-kollégiumi színjátszás a XVII és XVIII. században. Kolozsvár 1943. </w:t>
            </w:r>
            <w:hyperlink r:id="rId12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https://mek.oszk.hu/07800/07866/07866.pdf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8.2 Seminar / laborator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Metode de predare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Observații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Surse de istorie a teatrului 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  <w:br w:type="textWrapping"/>
              <w:t xml:space="preserve">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Surse de istorie a teatrului (2)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  <w:br w:type="textWrapping"/>
              <w:t xml:space="preserve">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Teatru de școlă de la Șumuleu Ciuc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</w:t>
              <w:br w:type="textWrapping"/>
              <w:t xml:space="preserve">close-reading,</w:t>
              <w:br w:type="textWrapping"/>
              <w:t xml:space="preserve">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Passiójáték Zsuzsanna történetével. 1753 (Nap, hold és csillagok velem zokogjatok”. Csíksomlyói passiójátékok a 18. századból Szerk. Demeter Júlia, Budapest é.n. Argumentum kiadó. 303–360.)</w:t>
            </w:r>
          </w:p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Jocul sensibil (teatrul sentimental)</w:t>
              <w:br w:type="textWrapping"/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(KERÉNYI Ferenc: Szentimentalizmus a színpadon: az érzékenyjáték. In: A régi magyar színpadon 1790-1849. Magvető Kiadó, 1981. 43-58.)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</w:t>
              <w:br w:type="textWrapping"/>
              <w:t xml:space="preserve">close-reading,</w:t>
              <w:br w:type="textWrapping"/>
              <w:t xml:space="preserve">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Elfride vagy is a szépség áldozattyai. Érzékenyjáték, két felvonásokban. Kotzébué útán az erdéllyi jattzoszinhez alkalmaztatta K. Boér Sándor..In Erdéllyi játékos gyűjtemény. Kolosváratt, 1793.</w:t>
            </w:r>
          </w:p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Bolyai Farkas: A párisi per (1817)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</w:t>
              <w:br w:type="textWrapping"/>
              <w:t xml:space="preserve">close-reading,</w:t>
              <w:br w:type="textWrapping"/>
              <w:t xml:space="preserve">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Bolyai Farkas: A párisi per (1817) In: Bolyai Farkas drámái. Marosvásárhely: Mentor Kiadó, 1999. 195-280.</w:t>
            </w:r>
          </w:p>
          <w:p w:rsidR="00000000" w:rsidDel="00000000" w:rsidP="00000000" w:rsidRDefault="00000000" w:rsidRPr="00000000" w14:paraId="0000011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Iluminism și sentimentalism pe scenă</w:t>
            </w:r>
          </w:p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(KERÉNYI Ferenc: A színpadi hatáskeltés tényezői, a síró-éneklő iskola. In: A régi magyar színpadon 1790–1849. Bp., Magvető Kiadó, 198. 59-64)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</w:t>
              <w:br w:type="textWrapping"/>
              <w:t xml:space="preserve">close-reading,</w:t>
              <w:br w:type="textWrapping"/>
              <w:t xml:space="preserve">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Bolyai Farkas: A párisi per (1817) In: Bolyai Farkas drámái. Marosvásárhely: Mentor Kiadó, 1999. 195-280.</w:t>
            </w:r>
          </w:p>
          <w:p w:rsidR="00000000" w:rsidDel="00000000" w:rsidP="00000000" w:rsidRDefault="00000000" w:rsidRPr="00000000" w14:paraId="0000012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Lexicoane de artă teatrală maghiară</w:t>
              <w:br w:type="textWrapping"/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(articole de dicționar, de ex.: joc sensibil, tată sensibil, școala plângător-cântată, joc eroic, tragedie, teatrul itinerant, Láng Ádám János, Kilyényi Dávid, Éder György, Pergő Czelesztin, Székelyné Ungár Anna etc.)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prezentarea articolelor de dicționar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Székely György főszerk. Magyar színházművészeti lexikon. Akadémiai Kiadó, Országos Színháztörténeti Múzeum, Bp. Országos Színészegyesület és Nyugdíjintézet, 1994. </w:t>
            </w:r>
          </w:p>
          <w:p w:rsidR="00000000" w:rsidDel="00000000" w:rsidP="00000000" w:rsidRDefault="00000000" w:rsidRPr="00000000" w14:paraId="0000012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https://mek.oszk.hu/08700/08756/html/ </w:t>
            </w:r>
          </w:p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 színművészeti lexikon. Scöpflin Aladár szerk. Bp., 1929-1931. 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http://mek.oszk.hu/02100/02139/html/index.html </w:t>
            </w:r>
          </w:p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Ceremonii de inaugurare a teatrelor și documentele acestora (1821, 1837)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</w:t>
              <w:br w:type="textWrapping"/>
              <w:t xml:space="preserve">close-reading,</w:t>
              <w:br w:type="textWrapping"/>
              <w:t xml:space="preserve">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Vörösmarty: Árpád ébredése (1837)</w:t>
            </w:r>
          </w:p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Jurnalul lui Déryné (1900)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</w:t>
              <w:br w:type="textWrapping"/>
              <w:t xml:space="preserve">close-reading,</w:t>
              <w:br w:type="textWrapping"/>
              <w:t xml:space="preserve">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Déryné naplója. I-III. Szerk. Bayer József. https://www.antikvarium.hu/szerzo/bayer-jozsef-3027, Singer és Wolfner Budapest) 1900.</w:t>
            </w:r>
          </w:p>
          <w:p w:rsidR="00000000" w:rsidDel="00000000" w:rsidP="00000000" w:rsidRDefault="00000000" w:rsidRPr="00000000" w14:paraId="0000013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Traducerea lui Hamlet de Kazinczy Ferenc (1790)</w:t>
            </w:r>
          </w:p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Kerényi Ferenc: A színjátéktípusok történeti leírásának elmélete és gyakorlata. Hamlet-előadások hazánkban 1790-1840 (Színházelméleti füzetek 2., Budapest, 1975)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</w:t>
              <w:br w:type="textWrapping"/>
              <w:t xml:space="preserve">close-reading,</w:t>
              <w:br w:type="textWrapping"/>
              <w:t xml:space="preserve">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Kazinczy Ferenc ford.: Hamlet (1790 </w:t>
            </w:r>
          </w:p>
          <w:p w:rsidR="00000000" w:rsidDel="00000000" w:rsidP="00000000" w:rsidRDefault="00000000" w:rsidRPr="00000000" w14:paraId="0000013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https://library.hungaricana.hu/en/view/SZAK_SZIN_Szef_02/?pg=0&amp;layout=s</w:t>
            </w:r>
          </w:p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Stilul actoricesc romantic și critica teatrală (interpretările lui Lendvay Márton cel Bătrân și Egressy Gábor)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</w:t>
              <w:br w:type="textWrapping"/>
              <w:t xml:space="preserve">close-reading,</w:t>
              <w:br w:type="textWrapping"/>
              <w:t xml:space="preserve">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Bajza József alias Szebeklébi: III. Richardról. Athenaeum, Magyar játékszíni krónika, 1843 jan. (Lendvay;</w:t>
            </w:r>
          </w:p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Petőfi Sándor: III. Richard előadásról. Életképek, 1847. febr</w:t>
            </w:r>
          </w:p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Concepții de politică teatrală și piesa populară (népszínmű)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</w:t>
              <w:br w:type="textWrapping"/>
              <w:t xml:space="preserve">close-reading,</w:t>
              <w:br w:type="textWrapping"/>
              <w:t xml:space="preserve">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Szigligeti Ede: Szökött katona. https://mek.oszk.hu/05100/05183/05183.htm#1 </w:t>
            </w:r>
          </w:p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PUKÁNSZKYNÉ KÁDÁR JOLÁN, A magyar népszínmű bécsi gyökerei. Bp. 1930. </w:t>
            </w:r>
          </w:p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http://epa.oszk.hu/00000/00001/00136/pdf/ITK_00136_1930_02_143-160.pdf</w:t>
            </w:r>
          </w:p>
          <w:p w:rsidR="00000000" w:rsidDel="00000000" w:rsidP="00000000" w:rsidRDefault="00000000" w:rsidRPr="00000000" w14:paraId="0000014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Bajza József și schimbarea de paradigmă a stilului romantic în teatrul maghiar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</w:t>
              <w:br w:type="textWrapping"/>
              <w:t xml:space="preserve">close-reading,</w:t>
              <w:br w:type="textWrapping"/>
              <w:t xml:space="preserve">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KERÉNYI FERENC: Bajza József és a magyar színészet romantikus </w:t>
            </w:r>
          </w:p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stílusfordulata. Irodalomtörténet - 34/84. évf. 4. sz. (2003.)</w:t>
            </w:r>
          </w:p>
          <w:p w:rsidR="00000000" w:rsidDel="00000000" w:rsidP="00000000" w:rsidRDefault="00000000" w:rsidRPr="00000000" w14:paraId="0000014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Prezentarea proiectului de cercetare de grup (expoziție, fragment de spectacol)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prezentarea proiectelor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E">
      <w:pPr>
        <w:spacing w:after="0" w:lineRule="auto"/>
        <w:ind w:hanging="426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8. Conținuturi</w:t>
      </w:r>
    </w:p>
    <w:tbl>
      <w:tblPr>
        <w:tblStyle w:val="Table9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5"/>
        <w:gridCol w:w="3119"/>
        <w:gridCol w:w="2977"/>
        <w:tblGridChange w:id="0">
          <w:tblGrid>
            <w:gridCol w:w="4395"/>
            <w:gridCol w:w="3119"/>
            <w:gridCol w:w="297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8.1b Curs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Metode de predare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Observații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Introducere, prezentarea disciplinei: trecutul mitic și trecutul istoric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Dionysia și tragedia (problema originii și contexte)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Contextul festivalier și agonul tragic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Geografia teatrală și spațiile teatrale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Convențiile practicii teatrale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Definiții ale tragediei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Mit și operă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Polisul și societatea 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Publicul teatral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Polisul și oikosul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Reprezentarea feminină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Dithirambul, comedia, piesa satirică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Sinteză, curs de pregătire pentru exame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Explicație, ilustrare, observare ghidată, prelegere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Bibliografie</w:t>
            </w:r>
          </w:p>
          <w:p w:rsidR="00000000" w:rsidDel="00000000" w:rsidP="00000000" w:rsidRDefault="00000000" w:rsidRPr="00000000" w14:paraId="0000017A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ARISZTOTELÉSZ, Poétika, Irodalmi Könyvkiadó, Téka sorozat, Bukarest,. 1969. </w:t>
            </w:r>
          </w:p>
          <w:p w:rsidR="00000000" w:rsidDel="00000000" w:rsidP="00000000" w:rsidRDefault="00000000" w:rsidRPr="00000000" w14:paraId="0000017B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BÉCSY Tamás: Euripidész újítása, in: Literatura, 1993. 3. 225-252.</w:t>
            </w:r>
          </w:p>
          <w:p w:rsidR="00000000" w:rsidDel="00000000" w:rsidP="00000000" w:rsidRDefault="00000000" w:rsidRPr="00000000" w14:paraId="0000017C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BÉLYÁCZ Katalin: Aiszkhülosz, Perzsák: 'A kutatás útjai'. In Karsai Gy. - Kárpáti A. (szerk.), Az antik dráma útjai, Budapest 2018, 17-42. </w:t>
            </w:r>
          </w:p>
          <w:p w:rsidR="00000000" w:rsidDel="00000000" w:rsidP="00000000" w:rsidRDefault="00000000" w:rsidRPr="00000000" w14:paraId="0000017D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DEVECSERI Gábor: Műhely és varázs, görög-római tanulmányok, Szépirodalmi, Bp., 1973.</w:t>
            </w:r>
          </w:p>
          <w:p w:rsidR="00000000" w:rsidDel="00000000" w:rsidP="00000000" w:rsidRDefault="00000000" w:rsidRPr="00000000" w14:paraId="0000017E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FALUS Róbert: Az antik világ irodalmai. .Gondolat, 1976. http://mek.oszk.hu/04700/04714/html/index.htm</w:t>
            </w:r>
          </w:p>
          <w:p w:rsidR="00000000" w:rsidDel="00000000" w:rsidP="00000000" w:rsidRDefault="00000000" w:rsidRPr="00000000" w14:paraId="0000017F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FISCHER-LICHTE, E.: A dráma története, Pécs, 2001 (Theatrum Mundi).</w:t>
            </w:r>
          </w:p>
          <w:p w:rsidR="00000000" w:rsidDel="00000000" w:rsidP="00000000" w:rsidRDefault="00000000" w:rsidRPr="00000000" w14:paraId="00000180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GRAVES Robert: A görög mítoszok I-II, több kiadás</w:t>
            </w:r>
          </w:p>
          <w:p w:rsidR="00000000" w:rsidDel="00000000" w:rsidP="00000000" w:rsidRDefault="00000000" w:rsidRPr="00000000" w14:paraId="00000181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HORVÁTH Andor: A szent liget. Tanulmányok a görög tragédiákról, Polisz Könyvkiadó, Kolozsvár, 2005.</w:t>
            </w:r>
          </w:p>
          <w:p w:rsidR="00000000" w:rsidDel="00000000" w:rsidP="00000000" w:rsidRDefault="00000000" w:rsidRPr="00000000" w14:paraId="00000182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KERÉNYI Károly: Görög mitológia, több kiadás.</w:t>
            </w:r>
          </w:p>
          <w:p w:rsidR="00000000" w:rsidDel="00000000" w:rsidP="00000000" w:rsidRDefault="00000000" w:rsidRPr="00000000" w14:paraId="00000183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KOTT, Jan, Istenevők: Vázlatok a görög tragédiáról, Európa Könyvkiadó, Bp., 1998. </w:t>
            </w:r>
          </w:p>
          <w:p w:rsidR="00000000" w:rsidDel="00000000" w:rsidP="00000000" w:rsidRDefault="00000000" w:rsidRPr="00000000" w14:paraId="00000184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KOTT, J.: A Médeia Pescarában, Istenevők. Vázlatok a görög tragédiától, Európa, Bp., 1998, 275-281.</w:t>
            </w:r>
          </w:p>
          <w:p w:rsidR="00000000" w:rsidDel="00000000" w:rsidP="00000000" w:rsidRDefault="00000000" w:rsidRPr="00000000" w14:paraId="00000185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SEBESTYÉN RITA: A görög tragédia születésének helye Korunk 2009 Január </w:t>
            </w:r>
            <w:hyperlink r:id="rId13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http://epa.oszk.hu/00400/00458/00145/sebestyen.html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86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TEGYEY Imre, Female intruder, Debreceni Disputa, 2009. 6. 47–52. http://www.deol.hu/disputa/2009/Disputa_09-06.pdf</w:t>
            </w:r>
          </w:p>
          <w:p w:rsidR="00000000" w:rsidDel="00000000" w:rsidP="00000000" w:rsidRDefault="00000000" w:rsidRPr="00000000" w14:paraId="00000187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RITOÓK Zsigmond: Vágy, költészet, megismerés. Válogatott tanulmányok, Osiris Kiadó, Bp., 2009. (Euripidész-tanulmányok)</w:t>
            </w:r>
          </w:p>
          <w:p w:rsidR="00000000" w:rsidDel="00000000" w:rsidP="00000000" w:rsidRDefault="00000000" w:rsidRPr="00000000" w14:paraId="0000018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8.2b Seminar / laborator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Metode de predare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Observații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Trecut mitic și trecut istoric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discuție de grup, proiecție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Aiszkhülosz: Perzsák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 close-reading, 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vezi materialele încărcate pe platforma MS Teams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Aiszkhülosz: Oreszteia (1). Agamemnon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 close-reading, 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vezi materialele încărcate pe platforma MS Teams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Aiszkhülosz: Oreszteia (2) Áldozatvivők</w:t>
              <w:br w:type="textWrapping"/>
            </w:r>
            <w:hyperlink r:id="rId14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http://mek.oszk.hu/00300/00307/00307.htm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 close-reading, 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vezi materialele încărcate pe platforma MS Teams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Aiszkhülosz: Oreszteia (3) Eumeniszek</w:t>
              <w:br w:type="textWrapping"/>
            </w:r>
            <w:hyperlink r:id="rId15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http://mek.oszk.hu/00300/00307/00307.htm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 close-reading, 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vezi materialele încărcate pe platforma MS Teams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Szophoklész: Antigoné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 close-reading, 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vezi materialele încărcate pe platforma MS Teams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Szophoklész: Antigoné. Modele de spectacol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 close-reading, 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Szophoklész: Oedipusz király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 close-reading, 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vezi materialele încărcate pe platforma MS Teams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Szophoklész: Elektra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 close-reading, 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vezi materialele încărcate pe platforma MS Teams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Euripidész: Médeia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 close-reading, 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vezi materialele încărcate pe platforma MS Teams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Euripidész: Bakkhánsnők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 close-reading, 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vezi materialele încărcate pe platforma MS Teams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Euripidész: Alkésztisz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 close-reading, 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vezi materialele încărcate pe platforma MS Teams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Euripidész: Alkésztisz. Modele de spectacol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dezbatere introductivă, close-reading, discuție de grup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Discutarea temelor lucrărilor de seminar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discuție de grup,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B8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Bibliografie</w:t>
            </w:r>
          </w:p>
        </w:tc>
      </w:tr>
    </w:tbl>
    <w:p w:rsidR="00000000" w:rsidDel="00000000" w:rsidP="00000000" w:rsidRDefault="00000000" w:rsidRPr="00000000" w14:paraId="000001BB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pacing w:after="0" w:line="240" w:lineRule="auto"/>
        <w:ind w:left="-426" w:firstLine="0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9. Coroborarea conținuturilor disciplinei cu așteptările reprezentanților comunității epistemice, asociațiilor profesionale și angajatori reprezentativi din domeniul aferent programului</w:t>
      </w:r>
    </w:p>
    <w:tbl>
      <w:tblPr>
        <w:tblStyle w:val="Table10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2869" w:hRule="atLeast"/>
          <w:tblHeader w:val="0"/>
        </w:trPr>
        <w:tc>
          <w:tcPr/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Metodele de predare se bazează pe rezultatele cercetărilor contemporane internaționale și maghiare din domeniul historiografiei teatrale.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Conținutul disciplinei corespunde cerințelor pieței muncii din România.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spacing w:after="0" w:before="12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0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spacing w:after="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10. Evaluare</w:t>
      </w:r>
      <w:r w:rsidDel="00000000" w:rsidR="00000000" w:rsidRPr="00000000">
        <w:rPr>
          <w:rtl w:val="0"/>
        </w:rPr>
      </w:r>
    </w:p>
    <w:tbl>
      <w:tblPr>
        <w:tblStyle w:val="Table11"/>
        <w:tblW w:w="10491.999999999998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9"/>
        <w:gridCol w:w="2550"/>
        <w:gridCol w:w="2409"/>
        <w:gridCol w:w="2694"/>
        <w:tblGridChange w:id="0">
          <w:tblGrid>
            <w:gridCol w:w="2839"/>
            <w:gridCol w:w="2550"/>
            <w:gridCol w:w="2409"/>
            <w:gridCol w:w="269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Tip activitate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3">
            <w:pPr>
              <w:spacing w:after="0" w:line="240" w:lineRule="auto"/>
              <w:ind w:left="46" w:right="-15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10.1 Criterii de evaluare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10.2 Metode de evaluare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10.3 Pondere din nota finală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C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10.4 Curs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Cunoașterea conținutului cursului și a bibliografiei aferente.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Test scris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–50%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CE">
            <w:pPr>
              <w:spacing w:after="0" w:line="240" w:lineRule="auto"/>
              <w:ind w:right="-15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10.5 Seminar/laborator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Cunoașterea lecturilor de seminar, prezentarea proiectului de grup și predarea unei lucrări scrise la finalul semestrului (minim 12.000 de caractere).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Evaluare individuală și de grup (ultimul seminar)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Participare activă la seminar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1D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10.6 Standard minim de performanță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DA">
            <w:pPr>
              <w:numPr>
                <w:ilvl w:val="0"/>
                <w:numId w:val="1"/>
              </w:numPr>
              <w:spacing w:after="0" w:before="120" w:line="240" w:lineRule="auto"/>
              <w:ind w:left="641" w:hanging="357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 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Cunoașterea fiecărei teme prin evocarea evenimentelor, persoanelor și fenomenelor concrete, fără a intra în detalii minore.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numPr>
                <w:ilvl w:val="0"/>
                <w:numId w:val="1"/>
              </w:numPr>
              <w:spacing w:after="0" w:before="120" w:line="240" w:lineRule="auto"/>
              <w:ind w:left="641" w:hanging="357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 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Cunoașterea a cel puțin jumătate dintre titlurile bibliografice, cu fișarea a minimum 3–3 studii.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numPr>
                <w:ilvl w:val="0"/>
                <w:numId w:val="1"/>
              </w:numPr>
              <w:spacing w:after="0" w:before="120" w:line="240" w:lineRule="auto"/>
              <w:ind w:left="641" w:hanging="357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 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În cazul seminarului: susținerea unei dezbateri introductive, predarea unei lucrări scrise, precum și cunoașterea la nivel de bază a tuturor temelor; fișarea a minimum 4–4 lecturi de seminar.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numPr>
                <w:ilvl w:val="0"/>
                <w:numId w:val="1"/>
              </w:numPr>
              <w:spacing w:after="0" w:before="120" w:line="240" w:lineRule="auto"/>
              <w:ind w:left="641" w:hanging="357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 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Participarea la proiectul de grup.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numPr>
                <w:ilvl w:val="0"/>
                <w:numId w:val="1"/>
              </w:numPr>
              <w:spacing w:after="0" w:before="120" w:line="240" w:lineRule="auto"/>
              <w:ind w:left="641" w:hanging="357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5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spacing w:after="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11. Etichete ODD (Obiective de Dezvoltare Durabilă / Sustainable Development Goals)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2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65"/>
        <w:gridCol w:w="9326"/>
        <w:tblGridChange w:id="0">
          <w:tblGrid>
            <w:gridCol w:w="1165"/>
            <w:gridCol w:w="9326"/>
          </w:tblGrid>
        </w:tblGridChange>
      </w:tblGrid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13971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b="0" l="0" r="0" t="0"/>
                  <wp:wrapNone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Eticheta generală pentru Dezvoltare durabilă</w:t>
            </w:r>
          </w:p>
        </w:tc>
      </w:tr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A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</w:rPr>
              <w:drawing>
                <wp:inline distB="0" distT="0" distL="0" distR="0">
                  <wp:extent cx="593725" cy="611505"/>
                  <wp:effectExtent b="0" l="0" r="0" t="0"/>
                  <wp:docPr descr="O imagine care conține text, captură de ecran, Font, siglă&#10;&#10;Descriere generată automat" id="2" name="image2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captură de ecran, Font, siglă&#10;&#10;Descriere generată automat" id="0" name="image2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B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C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491.0" w:type="dxa"/>
        <w:jc w:val="left"/>
        <w:tblInd w:w="-431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835"/>
        <w:gridCol w:w="1134"/>
        <w:gridCol w:w="3969"/>
        <w:tblGridChange w:id="0">
          <w:tblGrid>
            <w:gridCol w:w="2553"/>
            <w:gridCol w:w="2835"/>
            <w:gridCol w:w="1134"/>
            <w:gridCol w:w="3969"/>
          </w:tblGrid>
        </w:tblGridChange>
      </w:tblGrid>
      <w:tr>
        <w:trPr>
          <w:cantSplit w:val="0"/>
          <w:trHeight w:val="985" w:hRule="atLeast"/>
          <w:tblHeader w:val="0"/>
        </w:trPr>
        <w:tc>
          <w:tcPr/>
          <w:p w:rsidR="00000000" w:rsidDel="00000000" w:rsidP="00000000" w:rsidRDefault="00000000" w:rsidRPr="00000000" w14:paraId="000001EF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Data completării:</w:t>
            </w:r>
          </w:p>
          <w:p w:rsidR="00000000" w:rsidDel="00000000" w:rsidP="00000000" w:rsidRDefault="00000000" w:rsidRPr="00000000" w14:paraId="000001F0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F1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Semnătura titularului de curs</w:t>
            </w:r>
          </w:p>
          <w:p w:rsidR="00000000" w:rsidDel="00000000" w:rsidP="00000000" w:rsidRDefault="00000000" w:rsidRPr="00000000" w14:paraId="000001F2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.....................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4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Semnătura titularului de seminar</w:t>
            </w:r>
          </w:p>
          <w:p w:rsidR="00000000" w:rsidDel="00000000" w:rsidP="00000000" w:rsidRDefault="00000000" w:rsidRPr="00000000" w14:paraId="000001F5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.....................</w:t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6">
            <w:pPr>
              <w:spacing w:line="4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F7">
            <w:pPr>
              <w:spacing w:line="4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9">
            <w:pPr>
              <w:spacing w:line="4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FA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Data avizării în departament:</w:t>
            </w:r>
          </w:p>
          <w:p w:rsidR="00000000" w:rsidDel="00000000" w:rsidP="00000000" w:rsidRDefault="00000000" w:rsidRPr="00000000" w14:paraId="000001FB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1FC">
            <w:pPr>
              <w:spacing w:line="4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spacing w:line="4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FF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Semnătura directorului de departament</w:t>
            </w:r>
          </w:p>
          <w:p w:rsidR="00000000" w:rsidDel="00000000" w:rsidP="00000000" w:rsidRDefault="00000000" w:rsidRPr="00000000" w14:paraId="00000200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.....................</w:t>
            </w:r>
          </w:p>
          <w:p w:rsidR="00000000" w:rsidDel="00000000" w:rsidP="00000000" w:rsidRDefault="00000000" w:rsidRPr="00000000" w14:paraId="00000201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4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Times New Roman"/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Păstrați doar etichetele care, în conformitate cu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bCs w:val="0"/>
            <w:i w:val="1"/>
            <w:iCs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Procedura de aplicare a etichetelor ODD în procesul academic</w:t>
        </w:r>
      </w:hyperlink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se potrivesc disciplinei și ștergeți-le pe celelalte, inclusiv eticheta generală pentru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Dezvoltare durabilă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dacă nu se aplică. Dacă nicio etichetă nu descrie disciplina, ștergeți-le pe toate și scrieți "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 se aplică.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".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641" w:hanging="357.0000000000001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bpfe.eclap.eu/eclap/axmedis/6/6db/00000-6db7292d-637e-41cb-af94-e54250771df7/2/~saved-on-db-6db7292d-637e-41cb-af94-e54250771df7.pdf" TargetMode="External"/><Relationship Id="rId10" Type="http://schemas.openxmlformats.org/officeDocument/2006/relationships/hyperlink" Target="https://mek.oszk.hu/02100/02139/html/" TargetMode="External"/><Relationship Id="rId13" Type="http://schemas.openxmlformats.org/officeDocument/2006/relationships/hyperlink" Target="http://epa.oszk.hu/00400/00458/00145/sebestyen.html" TargetMode="External"/><Relationship Id="rId12" Type="http://schemas.openxmlformats.org/officeDocument/2006/relationships/hyperlink" Target="https://mek.oszk.hu/07800/07866/07866.pdf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mek.oszk.hu/08700/08756/html/" TargetMode="External"/><Relationship Id="rId15" Type="http://schemas.openxmlformats.org/officeDocument/2006/relationships/hyperlink" Target="http://mek.oszk.hu/00300/00307/00307.htm" TargetMode="External"/><Relationship Id="rId14" Type="http://schemas.openxmlformats.org/officeDocument/2006/relationships/hyperlink" Target="http://mek.oszk.hu/00300/00307/00307.htm" TargetMode="External"/><Relationship Id="rId17" Type="http://schemas.openxmlformats.org/officeDocument/2006/relationships/image" Target="media/image2.png"/><Relationship Id="rId16" Type="http://schemas.openxmlformats.org/officeDocument/2006/relationships/image" Target="media/image1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s://mek.oszk.hu/02000/02065/html/1kotet/11.htm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KN9Nj8cBvaQyKzyUbkv9BI/7OQ==">CgMxLjA4AHIhMVlzS0paZ2kxZGFtelNVNTk4RndkMEFVeXpPVHd2U1V1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